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1F" w:rsidRPr="00111F1F" w:rsidRDefault="00111F1F" w:rsidP="00111F1F">
      <w:pPr>
        <w:jc w:val="center"/>
        <w:rPr>
          <w:rFonts w:ascii="Times New Roman" w:eastAsia="Times New Roman" w:hAnsi="Times New Roman" w:cs="Times New Roman"/>
          <w:sz w:val="28"/>
        </w:rPr>
      </w:pPr>
      <w:r w:rsidRPr="00111F1F">
        <w:rPr>
          <w:rFonts w:ascii="Times New Roman" w:eastAsia="Times New Roman" w:hAnsi="Times New Roman" w:cs="Times New Roman"/>
          <w:sz w:val="28"/>
        </w:rPr>
        <w:t>МИНИСТЕРСТВО ОБРАЗОВАНИЯ И НАУКИ РОССИЙСКОЙ ФЕДЕРАЦИИ</w:t>
      </w:r>
    </w:p>
    <w:p w:rsidR="00111F1F" w:rsidRPr="00111F1F" w:rsidRDefault="00111F1F" w:rsidP="00111F1F">
      <w:pPr>
        <w:jc w:val="center"/>
        <w:rPr>
          <w:rFonts w:ascii="Times New Roman" w:eastAsia="Times New Roman" w:hAnsi="Times New Roman" w:cs="Times New Roman"/>
          <w:sz w:val="28"/>
        </w:rPr>
      </w:pPr>
      <w:r w:rsidRPr="00111F1F">
        <w:rPr>
          <w:rFonts w:ascii="Times New Roman" w:eastAsia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111F1F" w:rsidRPr="00111F1F" w:rsidRDefault="00111F1F" w:rsidP="00111F1F">
      <w:pPr>
        <w:jc w:val="center"/>
        <w:rPr>
          <w:rFonts w:ascii="Times New Roman" w:eastAsia="Times New Roman" w:hAnsi="Times New Roman" w:cs="Times New Roman"/>
          <w:sz w:val="28"/>
        </w:rPr>
      </w:pPr>
      <w:r w:rsidRPr="00111F1F">
        <w:rPr>
          <w:rFonts w:ascii="Times New Roman" w:eastAsia="Times New Roman" w:hAnsi="Times New Roman" w:cs="Times New Roman"/>
          <w:sz w:val="28"/>
        </w:rPr>
        <w:t>высшего профессионального образования</w:t>
      </w:r>
    </w:p>
    <w:p w:rsidR="00111F1F" w:rsidRPr="00111F1F" w:rsidRDefault="00111F1F" w:rsidP="00111F1F">
      <w:pPr>
        <w:jc w:val="center"/>
        <w:rPr>
          <w:rFonts w:ascii="Times New Roman" w:eastAsia="Times New Roman" w:hAnsi="Times New Roman" w:cs="Times New Roman"/>
          <w:sz w:val="28"/>
        </w:rPr>
      </w:pPr>
      <w:r w:rsidRPr="00111F1F">
        <w:rPr>
          <w:rFonts w:ascii="Times New Roman" w:eastAsia="Times New Roman" w:hAnsi="Times New Roman" w:cs="Times New Roman"/>
          <w:sz w:val="28"/>
        </w:rPr>
        <w:t>«Забайкальский государственный университет»</w:t>
      </w:r>
    </w:p>
    <w:p w:rsidR="00111F1F" w:rsidRPr="00111F1F" w:rsidRDefault="00111F1F" w:rsidP="00111F1F">
      <w:pPr>
        <w:jc w:val="center"/>
        <w:rPr>
          <w:rFonts w:ascii="Times New Roman" w:eastAsia="Times New Roman" w:hAnsi="Times New Roman" w:cs="Times New Roman"/>
          <w:sz w:val="28"/>
        </w:rPr>
      </w:pPr>
      <w:r w:rsidRPr="00111F1F">
        <w:rPr>
          <w:rFonts w:ascii="Times New Roman" w:eastAsia="Times New Roman" w:hAnsi="Times New Roman" w:cs="Times New Roman"/>
          <w:sz w:val="28"/>
        </w:rPr>
        <w:t xml:space="preserve">(ФГБОУ ВПО </w:t>
      </w:r>
      <w:proofErr w:type="spellStart"/>
      <w:r w:rsidRPr="00111F1F">
        <w:rPr>
          <w:rFonts w:ascii="Times New Roman" w:eastAsia="Times New Roman" w:hAnsi="Times New Roman" w:cs="Times New Roman"/>
          <w:sz w:val="28"/>
        </w:rPr>
        <w:t>ЗабГУ</w:t>
      </w:r>
      <w:proofErr w:type="spellEnd"/>
      <w:r w:rsidRPr="00111F1F">
        <w:rPr>
          <w:rFonts w:ascii="Times New Roman" w:eastAsia="Times New Roman" w:hAnsi="Times New Roman" w:cs="Times New Roman"/>
          <w:sz w:val="28"/>
        </w:rPr>
        <w:t>)</w:t>
      </w:r>
    </w:p>
    <w:p w:rsidR="00111F1F" w:rsidRPr="00111F1F" w:rsidRDefault="00111F1F" w:rsidP="00111F1F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111F1F" w:rsidRPr="00111F1F" w:rsidRDefault="00111F1F" w:rsidP="00111F1F">
      <w:pPr>
        <w:jc w:val="center"/>
        <w:rPr>
          <w:rFonts w:ascii="Times New Roman" w:eastAsia="Times New Roman" w:hAnsi="Times New Roman" w:cs="Times New Roman"/>
          <w:sz w:val="28"/>
        </w:rPr>
      </w:pPr>
      <w:r w:rsidRPr="00111F1F">
        <w:rPr>
          <w:rFonts w:ascii="Times New Roman" w:eastAsia="Times New Roman" w:hAnsi="Times New Roman" w:cs="Times New Roman"/>
          <w:sz w:val="28"/>
        </w:rPr>
        <w:t>Кафедра Физики и техники связи</w:t>
      </w:r>
    </w:p>
    <w:p w:rsidR="00111F1F" w:rsidRPr="00536507" w:rsidRDefault="00111F1F" w:rsidP="00111F1F">
      <w:pPr>
        <w:spacing w:line="360" w:lineRule="auto"/>
        <w:rPr>
          <w:rFonts w:ascii="Calibri" w:eastAsia="Times New Roman" w:hAnsi="Calibri" w:cs="Times New Roman"/>
          <w:sz w:val="28"/>
          <w:szCs w:val="28"/>
        </w:rPr>
      </w:pPr>
    </w:p>
    <w:p w:rsidR="00111F1F" w:rsidRDefault="00111F1F" w:rsidP="00111F1F">
      <w:pPr>
        <w:spacing w:line="36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111F1F" w:rsidRPr="00536507" w:rsidRDefault="00111F1F" w:rsidP="00111F1F">
      <w:pPr>
        <w:jc w:val="center"/>
        <w:rPr>
          <w:rFonts w:ascii="Times New Roman" w:hAnsi="Times New Roman" w:cs="Times New Roman"/>
          <w:sz w:val="28"/>
          <w:szCs w:val="28"/>
        </w:rPr>
      </w:pPr>
      <w:r w:rsidRPr="00111F1F">
        <w:rPr>
          <w:rFonts w:ascii="Times New Roman" w:eastAsia="Times New Roman" w:hAnsi="Times New Roman" w:cs="Times New Roman"/>
          <w:sz w:val="28"/>
          <w:szCs w:val="28"/>
        </w:rPr>
        <w:t>СЕТИ СВЯЗИ И СИСТЕМЫ КОММУТАЦИИ</w:t>
      </w:r>
    </w:p>
    <w:p w:rsidR="00111F1F" w:rsidRPr="000C3E44" w:rsidRDefault="00111F1F" w:rsidP="00111F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</w:t>
      </w:r>
      <w:r w:rsidR="000C3E44">
        <w:rPr>
          <w:rFonts w:ascii="Times New Roman" w:hAnsi="Times New Roman" w:cs="Times New Roman"/>
          <w:sz w:val="28"/>
          <w:szCs w:val="28"/>
        </w:rPr>
        <w:t>азания к лабораторной работе №</w:t>
      </w:r>
      <w:r w:rsidR="000C3E44" w:rsidRPr="000C3E44">
        <w:rPr>
          <w:rFonts w:ascii="Times New Roman" w:hAnsi="Times New Roman" w:cs="Times New Roman"/>
          <w:sz w:val="28"/>
          <w:szCs w:val="28"/>
        </w:rPr>
        <w:t>2</w:t>
      </w:r>
    </w:p>
    <w:p w:rsidR="00111F1F" w:rsidRPr="000C3E44" w:rsidRDefault="00111F1F" w:rsidP="000C3E44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507">
        <w:rPr>
          <w:rFonts w:ascii="Times New Roman" w:hAnsi="Times New Roman" w:cs="Times New Roman"/>
          <w:sz w:val="32"/>
          <w:szCs w:val="32"/>
        </w:rPr>
        <w:t>«</w:t>
      </w:r>
      <w:r w:rsidR="000C3E44">
        <w:rPr>
          <w:rFonts w:ascii="Times New Roman" w:hAnsi="Times New Roman" w:cs="Times New Roman"/>
          <w:sz w:val="24"/>
          <w:szCs w:val="24"/>
        </w:rPr>
        <w:t>Стратегии и принципы цифровизации телефонных сетей связи</w:t>
      </w:r>
      <w:r w:rsidRPr="00536507">
        <w:rPr>
          <w:rFonts w:ascii="Times New Roman" w:hAnsi="Times New Roman" w:cs="Times New Roman"/>
          <w:sz w:val="32"/>
          <w:szCs w:val="32"/>
        </w:rPr>
        <w:t>».</w:t>
      </w: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2469" w:rsidRDefault="00C92469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F1F" w:rsidRDefault="00111F1F" w:rsidP="00111F1F">
      <w:pPr>
        <w:jc w:val="center"/>
        <w:rPr>
          <w:rFonts w:ascii="Times New Roman" w:hAnsi="Times New Roman" w:cs="Times New Roman"/>
          <w:sz w:val="28"/>
          <w:szCs w:val="28"/>
        </w:rPr>
      </w:pPr>
      <w:r w:rsidRPr="00111F1F">
        <w:rPr>
          <w:rFonts w:ascii="Times New Roman" w:hAnsi="Times New Roman" w:cs="Times New Roman"/>
          <w:sz w:val="28"/>
          <w:szCs w:val="28"/>
        </w:rPr>
        <w:t>Чита 2015</w:t>
      </w:r>
    </w:p>
    <w:p w:rsidR="00111F1F" w:rsidRPr="00355F2A" w:rsidRDefault="000C3E44" w:rsidP="00111F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Лабораторная работа № </w:t>
      </w:r>
      <w:r w:rsidRPr="00355F2A">
        <w:rPr>
          <w:rFonts w:ascii="Times New Roman" w:hAnsi="Times New Roman" w:cs="Times New Roman"/>
          <w:sz w:val="28"/>
          <w:szCs w:val="28"/>
        </w:rPr>
        <w:t>2</w:t>
      </w:r>
    </w:p>
    <w:p w:rsidR="00111F1F" w:rsidRDefault="00111F1F" w:rsidP="00111F1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«П</w:t>
      </w:r>
      <w:r w:rsidRPr="00111F1F">
        <w:rPr>
          <w:rFonts w:ascii="Times New Roman" w:hAnsi="Times New Roman" w:cs="Times New Roman"/>
          <w:b/>
          <w:sz w:val="32"/>
          <w:szCs w:val="32"/>
        </w:rPr>
        <w:t>остроение сети связи общего пользования</w:t>
      </w:r>
      <w:r>
        <w:rPr>
          <w:rFonts w:ascii="Times New Roman" w:hAnsi="Times New Roman" w:cs="Times New Roman"/>
          <w:b/>
          <w:sz w:val="32"/>
          <w:szCs w:val="32"/>
        </w:rPr>
        <w:t>».</w:t>
      </w:r>
    </w:p>
    <w:p w:rsidR="00111F1F" w:rsidRDefault="00111F1F" w:rsidP="00111F1F"/>
    <w:p w:rsidR="00111F1F" w:rsidRPr="000C3E44" w:rsidRDefault="00111F1F" w:rsidP="00111F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</w:t>
      </w:r>
      <w:r w:rsidRPr="00111F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изучит</w:t>
      </w:r>
      <w:r w:rsidR="00C8034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построение </w:t>
      </w:r>
      <w:r w:rsidR="000C3E44" w:rsidRPr="000C3E44">
        <w:rPr>
          <w:rFonts w:ascii="Times New Roman" w:hAnsi="Times New Roman" w:cs="Times New Roman"/>
          <w:sz w:val="28"/>
          <w:szCs w:val="28"/>
        </w:rPr>
        <w:t>стратегий построения цифровой сети</w:t>
      </w:r>
      <w:r w:rsidR="00C80342" w:rsidRPr="000C3E44">
        <w:rPr>
          <w:rFonts w:ascii="Times New Roman" w:hAnsi="Times New Roman" w:cs="Times New Roman"/>
          <w:sz w:val="28"/>
          <w:szCs w:val="28"/>
        </w:rPr>
        <w:t>.</w:t>
      </w:r>
    </w:p>
    <w:p w:rsidR="000C3E44" w:rsidRPr="000C3E44" w:rsidRDefault="00C80342" w:rsidP="000C3E44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0C3E44">
        <w:rPr>
          <w:rFonts w:ascii="Times New Roman" w:hAnsi="Times New Roman" w:cs="Times New Roman"/>
          <w:sz w:val="28"/>
          <w:szCs w:val="28"/>
        </w:rPr>
        <w:t>стратегии</w:t>
      </w:r>
      <w:r w:rsidR="000C3E44" w:rsidRPr="000C3E44">
        <w:rPr>
          <w:rFonts w:ascii="Times New Roman" w:hAnsi="Times New Roman" w:cs="Times New Roman"/>
          <w:sz w:val="28"/>
          <w:szCs w:val="28"/>
        </w:rPr>
        <w:t xml:space="preserve"> построения цифровой сети</w:t>
      </w:r>
      <w:r w:rsidR="000C3E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связи. Научиться разрабатывать </w:t>
      </w:r>
      <w:r w:rsidR="000C3E44">
        <w:rPr>
          <w:rFonts w:ascii="Times New Roman" w:hAnsi="Times New Roman" w:cs="Times New Roman"/>
          <w:sz w:val="28"/>
          <w:szCs w:val="28"/>
        </w:rPr>
        <w:t>Стратегию</w:t>
      </w:r>
      <w:r w:rsidR="000C3E44" w:rsidRPr="000C3E44">
        <w:rPr>
          <w:rFonts w:ascii="Times New Roman" w:hAnsi="Times New Roman" w:cs="Times New Roman"/>
          <w:sz w:val="28"/>
          <w:szCs w:val="28"/>
        </w:rPr>
        <w:t xml:space="preserve"> островов (стратегия замещения);</w:t>
      </w:r>
      <w:r w:rsidR="000C3E44">
        <w:rPr>
          <w:rFonts w:ascii="Times New Roman" w:hAnsi="Times New Roman" w:cs="Times New Roman"/>
          <w:sz w:val="28"/>
          <w:szCs w:val="28"/>
        </w:rPr>
        <w:t xml:space="preserve"> Стратегию</w:t>
      </w:r>
      <w:r w:rsidR="000C3E44" w:rsidRPr="000C3E44">
        <w:rPr>
          <w:rFonts w:ascii="Times New Roman" w:hAnsi="Times New Roman" w:cs="Times New Roman"/>
          <w:sz w:val="28"/>
          <w:szCs w:val="28"/>
        </w:rPr>
        <w:t xml:space="preserve"> наложения;</w:t>
      </w:r>
      <w:r w:rsidR="000C3E44">
        <w:rPr>
          <w:rFonts w:ascii="Times New Roman" w:hAnsi="Times New Roman" w:cs="Times New Roman"/>
          <w:sz w:val="28"/>
          <w:szCs w:val="28"/>
        </w:rPr>
        <w:t xml:space="preserve"> Прагматическую</w:t>
      </w:r>
      <w:r w:rsidR="000C3E44" w:rsidRPr="000C3E44">
        <w:rPr>
          <w:rFonts w:ascii="Times New Roman" w:hAnsi="Times New Roman" w:cs="Times New Roman"/>
          <w:sz w:val="28"/>
          <w:szCs w:val="28"/>
        </w:rPr>
        <w:t xml:space="preserve"> </w:t>
      </w:r>
      <w:r w:rsidR="000C3E44">
        <w:rPr>
          <w:rFonts w:ascii="Times New Roman" w:hAnsi="Times New Roman" w:cs="Times New Roman"/>
          <w:sz w:val="28"/>
          <w:szCs w:val="28"/>
        </w:rPr>
        <w:t>стратегию</w:t>
      </w:r>
      <w:r w:rsidR="000C3E44" w:rsidRPr="000C3E44">
        <w:rPr>
          <w:rFonts w:ascii="Times New Roman" w:hAnsi="Times New Roman" w:cs="Times New Roman"/>
          <w:sz w:val="28"/>
          <w:szCs w:val="28"/>
        </w:rPr>
        <w:t>.</w:t>
      </w:r>
    </w:p>
    <w:p w:rsidR="00C80342" w:rsidRDefault="00C80342" w:rsidP="00111F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индивидуальное задание согласно своему варианту. Ответить на контрольные вопросы.</w:t>
      </w:r>
    </w:p>
    <w:p w:rsidR="00C80342" w:rsidRDefault="001832E6" w:rsidP="00111F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F415E5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290363" w:rsidRPr="000C3E44" w:rsidRDefault="000C3E44" w:rsidP="00111F1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лабораторной работы №1 выполнить </w:t>
      </w:r>
      <w:r w:rsidRPr="000C3E44">
        <w:rPr>
          <w:rFonts w:ascii="Times New Roman" w:hAnsi="Times New Roman" w:cs="Times New Roman"/>
          <w:sz w:val="28"/>
          <w:szCs w:val="28"/>
        </w:rPr>
        <w:t>построения цифровой сети</w:t>
      </w:r>
      <w:r>
        <w:rPr>
          <w:rFonts w:ascii="Times New Roman" w:hAnsi="Times New Roman" w:cs="Times New Roman"/>
          <w:sz w:val="28"/>
          <w:szCs w:val="28"/>
        </w:rPr>
        <w:t xml:space="preserve"> различными способами. Обосновать каждый способ построения.</w:t>
      </w:r>
    </w:p>
    <w:p w:rsidR="00F415E5" w:rsidRDefault="00F415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2</w:t>
      </w:r>
    </w:p>
    <w:p w:rsidR="00F415E5" w:rsidRDefault="000C3E4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лабораторной работы №1 выполнить </w:t>
      </w:r>
      <w:r w:rsidRPr="000C3E44">
        <w:rPr>
          <w:rFonts w:ascii="Times New Roman" w:hAnsi="Times New Roman" w:cs="Times New Roman"/>
          <w:sz w:val="28"/>
          <w:szCs w:val="28"/>
        </w:rPr>
        <w:t>построения цифровой</w:t>
      </w:r>
      <w:r>
        <w:rPr>
          <w:rFonts w:ascii="Times New Roman" w:hAnsi="Times New Roman" w:cs="Times New Roman"/>
          <w:sz w:val="28"/>
          <w:szCs w:val="28"/>
        </w:rPr>
        <w:t xml:space="preserve"> магистральной</w:t>
      </w:r>
      <w:r w:rsidRPr="000C3E44">
        <w:rPr>
          <w:rFonts w:ascii="Times New Roman" w:hAnsi="Times New Roman" w:cs="Times New Roman"/>
          <w:sz w:val="28"/>
          <w:szCs w:val="28"/>
        </w:rPr>
        <w:t xml:space="preserve"> сети</w:t>
      </w:r>
      <w:r>
        <w:rPr>
          <w:rFonts w:ascii="Times New Roman" w:hAnsi="Times New Roman" w:cs="Times New Roman"/>
          <w:sz w:val="28"/>
          <w:szCs w:val="28"/>
        </w:rPr>
        <w:t xml:space="preserve"> различными способами. Обосновать каждый способ построения.</w:t>
      </w:r>
    </w:p>
    <w:p w:rsidR="000C3E44" w:rsidRDefault="000C3E44">
      <w:pPr>
        <w:rPr>
          <w:rFonts w:ascii="Times New Roman" w:hAnsi="Times New Roman" w:cs="Times New Roman"/>
          <w:sz w:val="28"/>
          <w:szCs w:val="28"/>
        </w:rPr>
      </w:pPr>
    </w:p>
    <w:p w:rsidR="00CF46A3" w:rsidRDefault="00CF46A3"/>
    <w:p w:rsidR="00CD4966" w:rsidRDefault="00CD4966"/>
    <w:p w:rsidR="00CD4966" w:rsidRDefault="00CD4966"/>
    <w:p w:rsidR="00CD4966" w:rsidRPr="00355F2A" w:rsidRDefault="00CD4966"/>
    <w:p w:rsidR="000C3E44" w:rsidRPr="00355F2A" w:rsidRDefault="000C3E44"/>
    <w:p w:rsidR="000C3E44" w:rsidRPr="00355F2A" w:rsidRDefault="000C3E44"/>
    <w:p w:rsidR="000C3E44" w:rsidRPr="00355F2A" w:rsidRDefault="000C3E44"/>
    <w:p w:rsidR="000C3E44" w:rsidRPr="00355F2A" w:rsidRDefault="000C3E44"/>
    <w:p w:rsidR="000C3E44" w:rsidRPr="00355F2A" w:rsidRDefault="000C3E44"/>
    <w:p w:rsidR="000C3E44" w:rsidRPr="00355F2A" w:rsidRDefault="000C3E44"/>
    <w:p w:rsidR="003538AD" w:rsidRPr="00355F2A" w:rsidRDefault="003538AD"/>
    <w:p w:rsidR="000C3E44" w:rsidRPr="00355F2A" w:rsidRDefault="000C3E44"/>
    <w:p w:rsidR="00CD4966" w:rsidRPr="00355F2A" w:rsidRDefault="00CD4966" w:rsidP="00C338D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38D9">
        <w:rPr>
          <w:rFonts w:ascii="Times New Roman" w:hAnsi="Times New Roman" w:cs="Times New Roman"/>
          <w:sz w:val="28"/>
          <w:szCs w:val="28"/>
        </w:rPr>
        <w:lastRenderedPageBreak/>
        <w:t>Краткие теоретические сведения.</w:t>
      </w:r>
    </w:p>
    <w:p w:rsidR="000C3E44" w:rsidRPr="00A44D36" w:rsidRDefault="000C3E44" w:rsidP="000C3E44">
      <w:pPr>
        <w:rPr>
          <w:rFonts w:ascii="Times New Roman" w:hAnsi="Times New Roman" w:cs="Times New Roman"/>
          <w:b/>
          <w:sz w:val="24"/>
          <w:szCs w:val="24"/>
        </w:rPr>
      </w:pPr>
      <w:r w:rsidRPr="00A44D36">
        <w:rPr>
          <w:rFonts w:ascii="Times New Roman" w:hAnsi="Times New Roman" w:cs="Times New Roman"/>
          <w:b/>
          <w:sz w:val="24"/>
          <w:szCs w:val="24"/>
        </w:rPr>
        <w:t xml:space="preserve">Стратегии и принципы </w:t>
      </w:r>
      <w:proofErr w:type="spellStart"/>
      <w:r w:rsidRPr="00A44D36">
        <w:rPr>
          <w:rFonts w:ascii="Times New Roman" w:hAnsi="Times New Roman" w:cs="Times New Roman"/>
          <w:b/>
          <w:sz w:val="24"/>
          <w:szCs w:val="24"/>
        </w:rPr>
        <w:t>цифровизации</w:t>
      </w:r>
      <w:proofErr w:type="spellEnd"/>
      <w:r w:rsidRPr="00A44D36">
        <w:rPr>
          <w:rFonts w:ascii="Times New Roman" w:hAnsi="Times New Roman" w:cs="Times New Roman"/>
          <w:b/>
          <w:sz w:val="24"/>
          <w:szCs w:val="24"/>
        </w:rPr>
        <w:t xml:space="preserve"> телефонных сетей связи.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Полная модернизация сразу всей сети за один шаг является практически не реальной задачей, т.к. для этого потребовались бы огромные первоначальные затраты. В большинстве стран процесс перехода от аналоговой сети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цифровой длится несколько лет. Известны несколько стратегий построения цифровой сети, основными из которых являются</w:t>
      </w:r>
      <w:r w:rsidRPr="00E64314">
        <w:rPr>
          <w:rFonts w:ascii="Times New Roman" w:hAnsi="Times New Roman" w:cs="Times New Roman"/>
          <w:sz w:val="24"/>
          <w:szCs w:val="24"/>
        </w:rPr>
        <w:t>:</w:t>
      </w:r>
    </w:p>
    <w:p w:rsidR="000C3E44" w:rsidRDefault="000C3E44" w:rsidP="000C3E44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Стратегия островов (стратегия замещения)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3E44" w:rsidRDefault="000C3E44" w:rsidP="000C3E44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Стратегия наложения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3E44" w:rsidRDefault="000C3E44" w:rsidP="000C3E44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Прагматическая стратегия.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E64314">
        <w:rPr>
          <w:rFonts w:ascii="Times New Roman" w:hAnsi="Times New Roman" w:cs="Times New Roman"/>
          <w:sz w:val="24"/>
          <w:szCs w:val="24"/>
          <w:u w:val="single"/>
        </w:rPr>
        <w:t>Стратегия островов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стратегии островов характерно то, что все существующие аналоговые системы поэтапно заменяются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цифровые в пределах ограниченных географических областей, называемых цифровыми островами.</w:t>
      </w:r>
    </w:p>
    <w:p w:rsidR="000C3E44" w:rsidRPr="00E6431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 острова цифровой сети постепенно объединяются, образуя единую цифровую сеть.</w:t>
      </w:r>
    </w:p>
    <w:p w:rsidR="000C3E44" w:rsidRDefault="000C3E44" w:rsidP="000C3E44"/>
    <w:p w:rsidR="000C3E44" w:rsidRPr="00892271" w:rsidRDefault="000C3E44" w:rsidP="000C3E44">
      <w:r>
        <w:rPr>
          <w:noProof/>
        </w:rPr>
        <w:drawing>
          <wp:inline distT="0" distB="0" distL="0" distR="0">
            <wp:extent cx="4449445" cy="1917700"/>
            <wp:effectExtent l="19050" t="0" r="8255" b="0"/>
            <wp:docPr id="1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Цифровые острова рекомендуется внедрять в районах с большим количеством устаревших АТС, срок эксплуатации которых подходит к концу, а так же в районах с широким использованием цифровых систем передачи. Стратегия островов может быть привлекательной так же в том случае, когда телефонизированные районы разделены большими расстояниями и первоначальные затраты на модернизацию сетей верхнего уровня высоки.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  <w:u w:val="single"/>
        </w:rPr>
      </w:pPr>
      <w:r w:rsidRPr="002201D2">
        <w:rPr>
          <w:rFonts w:ascii="Times New Roman" w:hAnsi="Times New Roman" w:cs="Times New Roman"/>
          <w:sz w:val="24"/>
          <w:szCs w:val="24"/>
          <w:u w:val="single"/>
        </w:rPr>
        <w:t>Стратегия наложения.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Стратегия наложения направлена на создание цифровой сети, охватывающей ту же самую территорию, что и существующая аналоговая сеть. На существующую аналоговую сеть накладывают цифровую сеть.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этом аналоговая сеть соединена по своей схеме, а цифровая по своей.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есть получается сразу две сети.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182745" cy="2599690"/>
            <wp:effectExtent l="19050" t="0" r="8255" b="0"/>
            <wp:docPr id="1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745" cy="259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наложенной сети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C3E44" w:rsidRDefault="000C3E44" w:rsidP="000C3E44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связи между АТСЭ осуществляются только через цифровые транзитные станции или узлы</w:t>
      </w:r>
    </w:p>
    <w:p w:rsidR="000C3E44" w:rsidRDefault="000C3E44" w:rsidP="000C3E44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каналы между цифровыми АТС должны быть цифровыми. Цифровые станции соединяются между собой только цифровыми СЛ и обмениваются сигнальной информацией с помощью ОКС №7.</w:t>
      </w:r>
    </w:p>
    <w:p w:rsidR="000C3E44" w:rsidRDefault="000C3E44" w:rsidP="000C3E44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одной местной сети допускается только один переход между цифровой наложенной сетью и существующей аналоговой сетью</w:t>
      </w:r>
    </w:p>
    <w:p w:rsidR="000C3E44" w:rsidRDefault="000C3E44" w:rsidP="000C3E44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Вновь вводимые АТС должны включаться только в цифровую наложенную сеть</w:t>
      </w:r>
    </w:p>
    <w:p w:rsidR="000C3E44" w:rsidRPr="00537A0F" w:rsidRDefault="000C3E44" w:rsidP="000C3E44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АЦП должно устанавливаться только на стороне аналоговых станций или узлов.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FE73B9">
        <w:rPr>
          <w:rFonts w:ascii="Times New Roman" w:hAnsi="Times New Roman" w:cs="Times New Roman"/>
          <w:sz w:val="24"/>
          <w:szCs w:val="24"/>
          <w:u w:val="single"/>
        </w:rPr>
        <w:t>Прагматическая стратегия.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Стратегия наложения и стратегия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островов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правило не учитывают особенности конкретного региона, поэтому на сети чаще применяют их комбинацию – прагматическую стратегию.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48735" cy="2074545"/>
            <wp:effectExtent l="19050" t="0" r="0" b="0"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207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Default="000C3E44" w:rsidP="000C3E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C3E44" w:rsidRDefault="000C3E44" w:rsidP="000C3E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b/>
          <w:bCs/>
          <w:sz w:val="24"/>
          <w:szCs w:val="24"/>
        </w:rPr>
        <w:t>Перспективная нерайонированная ГТС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lastRenderedPageBreak/>
        <w:t>Первые цифровые АТС внедрялись в крупных городах России, что обусловило детальную проработку соответствующих рекомендаций преимущественно для ГТС с УИС и УВС. Современный этап модернизации ГТС связан с применением цифровых коммутационных станций на сетях любой емкости. Это обстоятельство требует детализации принципов цифровизации ГТС малой и средней емкости.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Практическое применение первой из перечисленных выше структур цифровых ГТС находится в сильной зависимости от максимальной емкости перспективных коммутационных станций. Эта величина обычно оценивается как 100000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АЛ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[64]. Производители коммутационного оборудования планируют в ближайшее время обеспечить возможность обслуживания соответствующей нагрузки. Некоторые типы коммутационных станций уже в настоящее время позволяют строить АТС емкостью порядка 100000 номеров.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Итак, при модернизации телефонной сети небольших городов, номерная емкость которых на перспективу (5 – 10 лет) не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превысит 100000 АЛ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>, целесообразно создавать нерайонированную ГТС. Эту величину следует, несомненно, считать условной. Ее точное значение получить, скорее всего, невозможно, но несложно разработать методику, позволяющую оценить – с достаточной для практики точностью – искомую величину для каждой конкретной ГТС.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Очевидно, что в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цифровую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ГТС емкостью до 100000 номеров могут быть преобразованы сети, построенные, в настоящее время, по следующим принципам: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нерайонированная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ГТС, состоящая из одной коммутационной станции;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- районированная ГТС, коммутационные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станции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которой связаны между собой по принципу «каждая с каждой».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Первый тип ГТС может, в свою очередь, </w:t>
      </w:r>
      <w:proofErr w:type="spellStart"/>
      <w:r w:rsidRPr="00B10E4F">
        <w:rPr>
          <w:rFonts w:ascii="Times New Roman" w:hAnsi="Times New Roman" w:cs="Times New Roman"/>
          <w:sz w:val="24"/>
          <w:szCs w:val="24"/>
        </w:rPr>
        <w:t>цифровизироваться</w:t>
      </w:r>
      <w:proofErr w:type="spellEnd"/>
      <w:r w:rsidRPr="00B10E4F">
        <w:rPr>
          <w:rFonts w:ascii="Times New Roman" w:hAnsi="Times New Roman" w:cs="Times New Roman"/>
          <w:sz w:val="24"/>
          <w:szCs w:val="24"/>
        </w:rPr>
        <w:t xml:space="preserve"> двумя путями: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- замена единственной </w:t>
      </w:r>
      <w:proofErr w:type="spellStart"/>
      <w:proofErr w:type="gramStart"/>
      <w:r w:rsidRPr="00B10E4F">
        <w:rPr>
          <w:rFonts w:ascii="Times New Roman" w:hAnsi="Times New Roman" w:cs="Times New Roman"/>
          <w:sz w:val="24"/>
          <w:szCs w:val="24"/>
        </w:rPr>
        <w:t>электро-механической</w:t>
      </w:r>
      <w:proofErr w:type="spellEnd"/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АТС на цифровую коммутационную станцию;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>- включение новой цифровой коммутационной станции в существующую сеть как еще одной АТС, используемой для подключения новых абонентов в ТФОП.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Первый вариант именуется на жаргоне </w:t>
      </w:r>
      <w:proofErr w:type="spellStart"/>
      <w:r w:rsidRPr="00B10E4F">
        <w:rPr>
          <w:rFonts w:ascii="Times New Roman" w:hAnsi="Times New Roman" w:cs="Times New Roman"/>
          <w:sz w:val="24"/>
          <w:szCs w:val="24"/>
        </w:rPr>
        <w:t>специалистов-сетевиков</w:t>
      </w:r>
      <w:proofErr w:type="spellEnd"/>
      <w:r w:rsidRPr="00B10E4F">
        <w:rPr>
          <w:rFonts w:ascii="Times New Roman" w:hAnsi="Times New Roman" w:cs="Times New Roman"/>
          <w:sz w:val="24"/>
          <w:szCs w:val="24"/>
        </w:rPr>
        <w:t xml:space="preserve"> «стратегией бульдозера». Это объясняется тем, что при демонтаже </w:t>
      </w:r>
      <w:proofErr w:type="spellStart"/>
      <w:proofErr w:type="gramStart"/>
      <w:r w:rsidRPr="00B10E4F">
        <w:rPr>
          <w:rFonts w:ascii="Times New Roman" w:hAnsi="Times New Roman" w:cs="Times New Roman"/>
          <w:sz w:val="24"/>
          <w:szCs w:val="24"/>
        </w:rPr>
        <w:t>электро-механической</w:t>
      </w:r>
      <w:proofErr w:type="spellEnd"/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АТС образуется, своего рода, свободное пространство, имеющее определенное сходство со строительной площадкой, которую разровнял бульдозер. При замене старой А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ТС стр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уктура ГТС не изменяется. Исключение может составить абонентская сеть. Возможные варианты модернизации абонентской сети одинаковы для большинства рассматриваемых в данном разделе принципов цифровизации ГТС. Второй вариант целесообразно рассмотреть в процессе перехода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полностью цифровой нерайонированной ГТС [63]. Исходная модель анализируемой ГТС, представленная на рисунке 3.6, содержит три электромеханические АТС. Заштрихованные участки отображают два района города, где необходимо подключить к ТФОП новые группы абонентов.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478490" cy="2380674"/>
            <wp:effectExtent l="19050" t="0" r="0" b="0"/>
            <wp:docPr id="1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200" cy="238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>Первый этап в цифровизации рассматриваемой модели ГТС заключается в установке коммутационной станции. Место установки этой станции определяется на этапе конкретного проектирования. Цифровая коммутационная станция может быть смонтирована: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- в помещении, в котором находится </w:t>
      </w:r>
      <w:proofErr w:type="spellStart"/>
      <w:proofErr w:type="gramStart"/>
      <w:r w:rsidRPr="00B10E4F">
        <w:rPr>
          <w:rFonts w:ascii="Times New Roman" w:hAnsi="Times New Roman" w:cs="Times New Roman"/>
          <w:sz w:val="24"/>
          <w:szCs w:val="24"/>
        </w:rPr>
        <w:t>электро-механическая</w:t>
      </w:r>
      <w:proofErr w:type="spellEnd"/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станция, продолжающая функционировать как РАТС;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- в помещении, в котором находится </w:t>
      </w:r>
      <w:proofErr w:type="spellStart"/>
      <w:r w:rsidRPr="00B10E4F">
        <w:rPr>
          <w:rFonts w:ascii="Times New Roman" w:hAnsi="Times New Roman" w:cs="Times New Roman"/>
          <w:sz w:val="24"/>
          <w:szCs w:val="24"/>
        </w:rPr>
        <w:t>электро-механическая</w:t>
      </w:r>
      <w:proofErr w:type="spellEnd"/>
      <w:r w:rsidRPr="00B10E4F">
        <w:rPr>
          <w:rFonts w:ascii="Times New Roman" w:hAnsi="Times New Roman" w:cs="Times New Roman"/>
          <w:sz w:val="24"/>
          <w:szCs w:val="24"/>
        </w:rPr>
        <w:t xml:space="preserve"> РАТС,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подлежащая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замене;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>- в здании, находящемся в произвольной точке города, если существуют какие-либо обстоятельства, определяющие такое решение.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>Характерным примером подобных обстоятельств может считаться подключение ТФОП ново</w:t>
      </w:r>
      <w:r>
        <w:rPr>
          <w:rFonts w:ascii="Times New Roman" w:hAnsi="Times New Roman" w:cs="Times New Roman"/>
          <w:sz w:val="24"/>
          <w:szCs w:val="24"/>
        </w:rPr>
        <w:t xml:space="preserve">й группы абонентов. </w:t>
      </w:r>
      <w:r w:rsidRPr="00B10E4F">
        <w:rPr>
          <w:rFonts w:ascii="Times New Roman" w:hAnsi="Times New Roman" w:cs="Times New Roman"/>
          <w:sz w:val="24"/>
          <w:szCs w:val="24"/>
        </w:rPr>
        <w:t>Не останавливаясь на детализации принципов цифровизации первичной сети, изложенных в предыдущей главе, отметим два основных варианта организации пучков СЛ между цифровой коммутационной станцией и аналоговыми РАТС: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11825" cy="5902960"/>
            <wp:effectExtent l="19050" t="0" r="3175" b="0"/>
            <wp:docPr id="1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590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10E4F">
        <w:rPr>
          <w:rFonts w:ascii="Times New Roman" w:hAnsi="Times New Roman" w:cs="Times New Roman"/>
          <w:sz w:val="24"/>
          <w:szCs w:val="24"/>
        </w:rPr>
        <w:t>ИКМ-тракты</w:t>
      </w:r>
      <w:proofErr w:type="spellEnd"/>
      <w:r w:rsidRPr="00B10E4F">
        <w:rPr>
          <w:rFonts w:ascii="Times New Roman" w:hAnsi="Times New Roman" w:cs="Times New Roman"/>
          <w:sz w:val="24"/>
          <w:szCs w:val="24"/>
        </w:rPr>
        <w:t xml:space="preserve">, оканчивающиеся оборудованием аналого-цифрового преобразования (АЦП) на стороне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аналоговых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РАТС;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>- ИКМ тракты, доведенные до СУ, от которого до кросса каждой РАТС могут организовываться физические СЛ.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Первый вариант является более перспективным с точки зрения последующей цифровизации ГТС. Второй вариант, может быть реализован при соблюдении норм на затухание, принятых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отечественных ГТС [65]. Данный вариант следует рассматривать как вынужденную меру, обусловленную какими-либо исключительными обстоятельствами.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На первом этапе цифровизации ГТС появляется одна новая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РАТС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и сеть сохраняет прежнюю топологию. Никаких существенных изменений в системе нумерации, маршрутизации и т.п. не происходит.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 xml:space="preserve">Второй этап цифровизации ГТС подразумевает </w:t>
      </w:r>
      <w:proofErr w:type="gramStart"/>
      <w:r w:rsidRPr="00B10E4F">
        <w:rPr>
          <w:rFonts w:ascii="Times New Roman" w:hAnsi="Times New Roman" w:cs="Times New Roman"/>
          <w:sz w:val="24"/>
          <w:szCs w:val="24"/>
        </w:rPr>
        <w:t>реализацию</w:t>
      </w:r>
      <w:proofErr w:type="gramEnd"/>
      <w:r w:rsidRPr="00B10E4F">
        <w:rPr>
          <w:rFonts w:ascii="Times New Roman" w:hAnsi="Times New Roman" w:cs="Times New Roman"/>
          <w:sz w:val="24"/>
          <w:szCs w:val="24"/>
        </w:rPr>
        <w:t xml:space="preserve"> по крайней мере одного из следующих событий: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lastRenderedPageBreak/>
        <w:t>- подключение новых групп абонентов за счет установки концентраторов и/или мультиплексоров цифровой АТС в некоторых точках города;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>- замена одной или более электромеханических АТС на концентраторы и/или мультиплексоры, подключаемые к цифровой коммутационной станции.</w:t>
      </w:r>
    </w:p>
    <w:p w:rsidR="000C3E44" w:rsidRPr="00B10E4F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B10E4F">
        <w:rPr>
          <w:rFonts w:ascii="Times New Roman" w:hAnsi="Times New Roman" w:cs="Times New Roman"/>
          <w:sz w:val="24"/>
          <w:szCs w:val="24"/>
        </w:rPr>
        <w:t>На рисунке 3.8 показаны оба эти события. Один концентратор установлен в месте, отмеченном заштрихованной областью на рисунке 3.6, а второй концентратор заменяет две электромеханические РАТС.</w:t>
      </w: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21860" cy="3712210"/>
            <wp:effectExtent l="19050" t="0" r="2540" b="0"/>
            <wp:docPr id="2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860" cy="371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рассматриваемой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ГТС, таким образом, только одна коммутационная станция принадлежит к классу аналоговых систем. Финал цифровизации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анализируемой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ГТС показан на следующем рисунке.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Последняя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электромеханическая РАТС заменена концентратором и еще один концентратор введен в новом районе города.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56150" cy="3950970"/>
            <wp:effectExtent l="19050" t="0" r="6350" b="0"/>
            <wp:docPr id="2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0" cy="395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b/>
          <w:bCs/>
          <w:sz w:val="24"/>
          <w:szCs w:val="24"/>
        </w:rPr>
        <w:t>Перспективная районированная ГТС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Изложенная процедура цифровизации ГТС не раскрывает в явном виде принцип внедрения цифрового коммутационного оборудования методом «Наложенной сети», известным по англоязычному термину </w:t>
      </w:r>
      <w:proofErr w:type="spellStart"/>
      <w:r w:rsidRPr="001842E4">
        <w:rPr>
          <w:rFonts w:ascii="Times New Roman" w:hAnsi="Times New Roman" w:cs="Times New Roman"/>
          <w:sz w:val="24"/>
          <w:szCs w:val="24"/>
        </w:rPr>
        <w:t>Overlay</w:t>
      </w:r>
      <w:proofErr w:type="spellEnd"/>
      <w:r w:rsidRPr="00184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42E4">
        <w:rPr>
          <w:rFonts w:ascii="Times New Roman" w:hAnsi="Times New Roman" w:cs="Times New Roman"/>
          <w:sz w:val="24"/>
          <w:szCs w:val="24"/>
        </w:rPr>
        <w:t>Network</w:t>
      </w:r>
      <w:proofErr w:type="spellEnd"/>
      <w:r w:rsidRPr="001842E4">
        <w:rPr>
          <w:rFonts w:ascii="Times New Roman" w:hAnsi="Times New Roman" w:cs="Times New Roman"/>
          <w:sz w:val="24"/>
          <w:szCs w:val="24"/>
        </w:rPr>
        <w:t xml:space="preserve"> [62]. Принцип создания «Наложенной сети» стал – во всех развитых и развивающихся станах – аксиомой; по этой причине мы не будем останавливаться на логических аспектах доказательства целесообразности данного принципа цифровизации местных телефонных сетей. Более важная, с точки зрения практики, задача заключается в анализе сценариев построения «Наложенной сети», которые будут проиллюстрированы (как сформулировано выше)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>: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- районированной цифровой ГТС, коммутационные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станции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которой связаны между собой по принципу «каждая с каждой»;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842E4">
        <w:rPr>
          <w:rFonts w:ascii="Times New Roman" w:hAnsi="Times New Roman" w:cs="Times New Roman"/>
          <w:sz w:val="24"/>
          <w:szCs w:val="24"/>
        </w:rPr>
        <w:t>- цифровой ГТС, имеющей оконечные и транзитные коммутационные станции.</w:t>
      </w:r>
      <w:proofErr w:type="gramEnd"/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Цифровая сеть, построенная по принципу связи коммутационных станций «каждая с каждой», может служить моделью эволюции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районированных ГТС без узлов, с УВС и, возможно, с УИС и УВС. Последний вариант может рассматриваться как теоретический вариант. Только две российские ГТС (в Москве и Санкт-Петербурге) построены с использованием УИС и УВС. </w:t>
      </w:r>
      <w:proofErr w:type="spellStart"/>
      <w:r w:rsidRPr="001842E4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1842E4">
        <w:rPr>
          <w:rFonts w:ascii="Times New Roman" w:hAnsi="Times New Roman" w:cs="Times New Roman"/>
          <w:sz w:val="24"/>
          <w:szCs w:val="24"/>
        </w:rPr>
        <w:t xml:space="preserve"> этих ГТС осуществляется уже достаточно долго и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основана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на топологии, подразумевающей применение транзитных станций. По этой причине вариант преобразования таких крупных ГТС в цифровую сеть без транзитных станций далее не рассматривается.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Рассматриваемая структура ГТС будет оптимальна в определенных границах номерной емкости. Нижняя граница определяется рассмотренным выше вариантом – переходом к цифровой нерайонированной сети. Эта величина может быть оценена как 100 тысяч номеров. Определить </w:t>
      </w:r>
      <w:r w:rsidRPr="001842E4">
        <w:rPr>
          <w:rFonts w:ascii="Times New Roman" w:hAnsi="Times New Roman" w:cs="Times New Roman"/>
          <w:sz w:val="24"/>
          <w:szCs w:val="24"/>
        </w:rPr>
        <w:lastRenderedPageBreak/>
        <w:t>соответствующую верхнюю границу достаточно сложно. Некоторые косвенные оценки позволяют оценить искомую величину как 1 – 2 миллиона номеров.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842E4">
        <w:rPr>
          <w:rFonts w:ascii="Times New Roman" w:hAnsi="Times New Roman" w:cs="Times New Roman"/>
          <w:sz w:val="24"/>
          <w:szCs w:val="24"/>
        </w:rPr>
        <w:t>Этапы создания «наложенной сети» на аналоговой ГТС без узлов показаны на рисунках 3.10 и 3.11.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В качестве исходной модели выбрана та же ГТС, что и для нерайонированной сети (рисунок 3.6).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842E4">
        <w:rPr>
          <w:rFonts w:ascii="Times New Roman" w:hAnsi="Times New Roman" w:cs="Times New Roman"/>
          <w:sz w:val="24"/>
          <w:szCs w:val="24"/>
        </w:rPr>
        <w:t>Вновь вводимая цифровая коммутационная станция должна быть связана со всеми РАТС данной ГТС цифровыми трактами с установкой оборудования АЦП на стороне электромеханических станций.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Как и в рассмотренном ранее варианте построения цифровой </w:t>
      </w:r>
      <w:proofErr w:type="spellStart"/>
      <w:r w:rsidRPr="001842E4">
        <w:rPr>
          <w:rFonts w:ascii="Times New Roman" w:hAnsi="Times New Roman" w:cs="Times New Roman"/>
          <w:sz w:val="24"/>
          <w:szCs w:val="24"/>
        </w:rPr>
        <w:t>нерайнированной</w:t>
      </w:r>
      <w:proofErr w:type="spellEnd"/>
      <w:r w:rsidRPr="001842E4">
        <w:rPr>
          <w:rFonts w:ascii="Times New Roman" w:hAnsi="Times New Roman" w:cs="Times New Roman"/>
          <w:sz w:val="24"/>
          <w:szCs w:val="24"/>
        </w:rPr>
        <w:t xml:space="preserve"> ГТС могут быть организованы СУ, позволяющие использовать физические СЛ. Подобное решение не может, конечно, рассматриваться как оптимальное.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При введении следующей цифровой коммутационной станции необходимо решить вопрос рационального построения межстанционных связей. Эти связи могут быть реализованы тремя основными способами: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организация прямых пучков СЛ между каждой цифровой коммутационной станцией и каждой аналоговой РАТС;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- временное использование цифровой коммутационной станции, которая была внедрена первой, в качестве транзитной для связи вновь вводимых цифровых станций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аналоговой ГТС;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комбинированное решение, основанное на сочетании перечисленных выше вариантов.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Первый вариант выглядит предпочтительным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многих точек зрения. Учитывая возможность быстрой цифровизации первичной сети за счет использования ЦКУ, организацию прямых пучков СЛ можно считать основным сценарием для построения межстанционных связей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районированной ГТС.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На рисунке 3.10 проиллюстрированы введение новой цифровой коммутационной станции (под номером 0) и замена аналоговой РАТС (под номером 2) на цифровую станцию.</w:t>
      </w:r>
      <w:proofErr w:type="gramEnd"/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87140" cy="2763520"/>
            <wp:effectExtent l="19050" t="0" r="381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276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На рисунке  изображена финальная стадия цифровизации рассматриваемой ГТС, когда заменены все электромеханические РАТС и введена новая цифровая коммутационная станция, имеющая </w:t>
      </w:r>
      <w:r w:rsidRPr="001842E4">
        <w:rPr>
          <w:rFonts w:ascii="Times New Roman" w:hAnsi="Times New Roman" w:cs="Times New Roman"/>
          <w:sz w:val="24"/>
          <w:szCs w:val="24"/>
        </w:rPr>
        <w:lastRenderedPageBreak/>
        <w:t>номер 5. Следует отметить, что по сравнению с исходной моделью, число цифровых станций может быть меньше, равно или больше числа электромеханических АТС. Это соотношение будет, в основном, определяться потребностью в увеличении емкости каждой конкретной ГТС.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842E4">
        <w:rPr>
          <w:rFonts w:ascii="Times New Roman" w:hAnsi="Times New Roman" w:cs="Times New Roman"/>
          <w:sz w:val="24"/>
          <w:szCs w:val="24"/>
        </w:rPr>
        <w:t>Этапы создания цифровой сети без узлов на аналоговой ГТС с УВС показаны на рисунках.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Принципы маршрутизации, характерные для ГТС с УВС, накладывают определенные требования на план нумерации. При внедрении цифровых коммутационных станций на ГТС с УВС необходимо организовывать отдельный сто-, двухсо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и т.д. тысячный узловой район, для которого выделяются отдельные стотысячные индексы из резервной номерной емкости. Этот новый район будет являться базой для создания «наложенной сети». Территории ранее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существовавших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и вновь организуемого узлового района могут взаимно перекрываться. В отдельных случаях может оказаться целесообразным создание нескольких новых узловых районов в пределах одной «наложенной сети».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Модель аналоговой ГТС с УВС, на которой будут рассмотрены основные этапы цифровизации сети, представлена на рисунке. 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Анализируемая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ГТС состоит всего из двух узловых районов, что никак не влияет на принципы ее цифровизации.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47640" cy="271589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271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На следующем  рисунке  показана структура рассматриваемой модели на момент установки первой цифровой коммутационной станции. Эта коммутационная станция (номер I) выполняет следующие функции: – опорной (оконечной) для абонентов, которые включены в эту станцию;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УВС нового узлового района для четырех аналоговых РАТС, принадлежащих существующей сети;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УИС нового узлового района, если такой вариант окажется экономически целесообразным.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267960" cy="4831080"/>
            <wp:effectExtent l="19050" t="0" r="889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483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В данном разделе для подобного коммутационного оборудования станций будет использована аббревиатура ОТС (опорно-транзитная станция). ОТС, помимо функций УВС и УИС, может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выполнять роль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УВСМ, узла заказно-соединительных линий т.п.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842E4">
        <w:rPr>
          <w:rFonts w:ascii="Times New Roman" w:hAnsi="Times New Roman" w:cs="Times New Roman"/>
          <w:sz w:val="24"/>
          <w:szCs w:val="24"/>
        </w:rPr>
        <w:t>Цифровая ОТС I должна быть связана со всеми РАТС данной ГТС цифровыми трактами с установкой оборудования АЦП на стороне электромеханических узлов станций.</w:t>
      </w:r>
      <w:proofErr w:type="gramEnd"/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На рисунке ниже показана структура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гипотетической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ГТС на момент ввода еще двух цифровых коммутационных станций. Эти коммутационные станции обязательно связываются между собой цифровыми трактами по принципу «каждая с каждой».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Создаваемая этими коммутационными станциями «наложенная сеть» может взаимодействовать с существующими РАТС по трем основным вариантам:</w:t>
      </w:r>
      <w:proofErr w:type="gramEnd"/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- первая из введенных цифровых коммутационных станций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выполняет роль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ОТС или чисто транзитной станции (ТС) а остальные – функции опорных станций, аналогичных функциям РАТС;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все вновь вводимые цифровые коммутационные станции выполняют функции ОТС;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комбинированное включение вновь вводимых коммутационных станций, подразумевающее сочетание первого и второго вариантов.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151755" cy="474281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755" cy="474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На рисунке  показан третий (основной) вариант, в котором коммутационные станции под номерами I и II обеспечивают взаимодействие с существующей сетью.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Окончательная фаза цифровизации рассматриваемой модели – за исключением, вероятно, числа коммутационных станций полностью соответствует структуре ГТС.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842E4">
        <w:rPr>
          <w:rFonts w:ascii="Times New Roman" w:hAnsi="Times New Roman" w:cs="Times New Roman"/>
          <w:b/>
          <w:bCs/>
          <w:sz w:val="24"/>
          <w:szCs w:val="24"/>
        </w:rPr>
        <w:t>Перспективная</w:t>
      </w:r>
      <w:proofErr w:type="gramEnd"/>
      <w:r w:rsidRPr="001842E4">
        <w:rPr>
          <w:rFonts w:ascii="Times New Roman" w:hAnsi="Times New Roman" w:cs="Times New Roman"/>
          <w:b/>
          <w:bCs/>
          <w:sz w:val="24"/>
          <w:szCs w:val="24"/>
        </w:rPr>
        <w:t xml:space="preserve"> ГТС с транзитными станциями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Цифровая сеть с транзитными станциями – последний из рассматриваемых вариантов эволюции ГТС – оптимальное решение только для очень крупных городов. Подобная модель приемлема, по всей видимости, только для тех ГТС, которые уже в настоящее время используют УИС и УВС. Теоретически цифровая ГТС может стать эффективной и в ряде специфических ситуаций, примером которой могут служить нестандартные градостроительные условия.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Структура гипотетической ГТС с УИС и УВС на момент установки первой коммутационной станции соответствует модели, показанной на рисунке ниже.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513705" cy="421703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705" cy="421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С формальной точки зрения </w:t>
      </w:r>
      <w:proofErr w:type="spellStart"/>
      <w:r w:rsidRPr="001842E4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1842E4">
        <w:rPr>
          <w:rFonts w:ascii="Times New Roman" w:hAnsi="Times New Roman" w:cs="Times New Roman"/>
          <w:sz w:val="24"/>
          <w:szCs w:val="24"/>
        </w:rPr>
        <w:t xml:space="preserve"> крупной ГТС сводится к очевидной последовательности: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842E4">
        <w:rPr>
          <w:rFonts w:ascii="Times New Roman" w:hAnsi="Times New Roman" w:cs="Times New Roman"/>
          <w:sz w:val="24"/>
          <w:szCs w:val="24"/>
        </w:rPr>
        <w:t>- устанавливается цифровая ТС, связываемая с аналоговыми УИС и УВС цифровыми трактами;</w:t>
      </w:r>
      <w:proofErr w:type="gramEnd"/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- новые цифровые (опорные) станции включаются в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цифровую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ТС, посредством которой они взаимодействуют с аналоговыми РАТС;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постепенно вся ГТС преобразуется в цифровую сеть с ТС, число которых (за счет использования коммутационных станций большой емкости) может быть меньше, чем число аналоговых УИС.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Структура цифровой ГТС большой емкости </w:t>
      </w:r>
      <w:proofErr w:type="gramStart"/>
      <w:r w:rsidRPr="001842E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 xml:space="preserve"> ТС показана на рисунке ниже. Особенность модернизации сетей подобного класса заключается в том, что заменяемые станции и вновь вводимые могут и будут располагаться на территории различных узловых районов. Такая ситуация требует решения следующих вопросов: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переключение опорных станций из одной ТС в другую по мере установки цифровых ТС, в зоне обслуживания которых находятся введенные ранее цифровые опорные станции;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- изменение плана нумерации по мере переключения опорных станций из одной ТС в другую.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486400" cy="368490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8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>Эффективное решение первой проблемы может обеспечиваться за счет оптимального построения первичной сети. Неизбежное изменение плана нумерации принесет минимальные неудобства для абонентов, если по мере переключения опорной станции из одной в другую ТС будет меняться только трехзначный индекс коммутационной станции «</w:t>
      </w:r>
      <w:proofErr w:type="spellStart"/>
      <w:r w:rsidRPr="001842E4">
        <w:rPr>
          <w:rFonts w:ascii="Times New Roman" w:hAnsi="Times New Roman" w:cs="Times New Roman"/>
          <w:sz w:val="24"/>
          <w:szCs w:val="24"/>
        </w:rPr>
        <w:t>abx</w:t>
      </w:r>
      <w:proofErr w:type="spellEnd"/>
      <w:r w:rsidRPr="001842E4">
        <w:rPr>
          <w:rFonts w:ascii="Times New Roman" w:hAnsi="Times New Roman" w:cs="Times New Roman"/>
          <w:sz w:val="24"/>
          <w:szCs w:val="24"/>
        </w:rPr>
        <w:t>».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sz w:val="24"/>
          <w:szCs w:val="24"/>
        </w:rPr>
        <w:t xml:space="preserve">Рассмотренные в данном разделе принципы цифровизации ГТС представляют основные сценарии использования перспективной коммутационной техники, но, безусловно, не охватывают все возможные варианты модернизации ГТС. 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Arial" w:eastAsia="Times New Roman" w:hAnsi="Arial" w:cs="Arial"/>
          <w:b/>
          <w:bCs/>
          <w:color w:val="343434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Понятие и режимы работы ОКС№7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Общий канал сигнализации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представляет собой совокупность средств обеспечивающих приём требований на передачу линейных, регистровых и информационных сигналов, формирование пакетов данных переменной длины с сигнальной и другой информацией, передачу и приём кадров, а также обеспечение требуемой верности передачи информации.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В ОКС отсутствует строгое соответствие между сигнальными и разговорными каналами. При этом маршрут передачи сигнальной информации в сети может отличаться от маршрута пользовательской информации. В ОКС информация передается между станциями посредством специально организованной сети сигнализации, которая фактически является сетью передачи данных и предназначена для связи между собой центральных (координационных) процессоров коммутационных систем [1] (рисунок 7.13).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778250" cy="2233930"/>
            <wp:effectExtent l="19050" t="0" r="0" b="0"/>
            <wp:docPr id="22" name="Рисунок 1" descr="http://siblec.ru/mod/html/content/8sem/090/090.files/imag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blec.ru/mod/html/content/8sem/090/090.files/image111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2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Сеть сигнализации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Сеть сигнализации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– совокупность каналов сигнализации, оконечных и транзитных пунктов сигнализации. Эта сеть является транспортной системой не только для транспортировки сигнальных сообщений, обмен которыми обеспечивает предоставление услуг, но и для обмена данными тарификации разговоров, технической эксплуатации, административного управления, управления процессами подготовки и предоставления дополнительных видов обслуживания.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Международный консультативный комитет по телефонии и телеграфии рекомендовал две системы ОКС. Первая ОКС№6 была принята для сигнализации на международной сети. Вторая система ОКС№7 принята в 1980 году как сигнализация для цифровых сетей связи со скоростью передачи 64 Кбит/с. ОКС№7 определяет сигнализацию между коммутационными системами в цифровой национальной сети, включая УПАТС, а также в центрах технической эксплуатации (ЦТЭ). На ОКС№7 базируется построение цифровой сети с интеграцией обслуживания (ЦСИО).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Сеть сигнализации образуется тремя основными элементами: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1)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пункт сигнализации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>, SP) - совокупность аппаратно-программных средств коммутационной станции, осуществляющих формирование сигнальных сообщений для передачи и обработку принимаемых сигнальных сообщений в процессе обслуживания вызовов (функции пункта сигнализации выполняются аппаратно-программными средствами цифровых систем коммутации ЦСК;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2)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транзитный пункт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Transfer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>, STP) - передача сигнальных сообщений из одного звена сигнализации в другое;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3)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звено сигнализации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Link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>, SL) – обеспечивает перенос сигнальных сообщений между пунктами сигнализации, включает в себя два противоположно направленных канала или один двунаправленный канал передачи данных.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Сеть ОКС№7 может функционировать в одном из трех режимов: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1)    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A7659B">
        <w:rPr>
          <w:rFonts w:ascii="Times New Roman" w:hAnsi="Times New Roman" w:cs="Times New Roman"/>
          <w:sz w:val="24"/>
          <w:szCs w:val="24"/>
        </w:rPr>
        <w:t>Связанном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– маршруты передачи информационных и сигнальных сообщений совпадают (рисунок 7.14).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433445" cy="1285240"/>
            <wp:effectExtent l="0" t="0" r="0" b="0"/>
            <wp:docPr id="27" name="Рисунок 2" descr="http://siblec.ru/mod/html/content/8sem/090/090.files/image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iblec.ru/mod/html/content/8sem/090/090.files/image11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Связанный режим работы сети ОКС№7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2)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A7659B">
        <w:rPr>
          <w:rFonts w:ascii="Times New Roman" w:hAnsi="Times New Roman" w:cs="Times New Roman"/>
          <w:sz w:val="24"/>
          <w:szCs w:val="24"/>
        </w:rPr>
        <w:t>Квазисвязанном</w:t>
      </w:r>
      <w:proofErr w:type="spellEnd"/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– маршруты передачи информационных и сигнальных сообщений не совпадают, но сигнальные сообщения между 2-мя станциями проходят по заранее заданному маршруту. В сигнальном тракте задействовано не мене 2-х звеньев ОКС (рисунок 7.15).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08170" cy="1268095"/>
            <wp:effectExtent l="0" t="0" r="0" b="0"/>
            <wp:docPr id="28" name="Рисунок 3" descr="http://siblec.ru/mod/html/content/8sem/090/090.files/image1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blec.ru/mod/html/content/8sem/090/090.files/image113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7659B">
        <w:rPr>
          <w:rFonts w:ascii="Times New Roman" w:hAnsi="Times New Roman" w:cs="Times New Roman"/>
          <w:sz w:val="24"/>
          <w:szCs w:val="24"/>
        </w:rPr>
        <w:t>Квазисвязанный</w:t>
      </w:r>
      <w:proofErr w:type="spellEnd"/>
      <w:r w:rsidRPr="00A7659B">
        <w:rPr>
          <w:rFonts w:ascii="Times New Roman" w:hAnsi="Times New Roman" w:cs="Times New Roman"/>
          <w:sz w:val="24"/>
          <w:szCs w:val="24"/>
        </w:rPr>
        <w:t xml:space="preserve"> режим работы сети ОКС№7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3)</w:t>
      </w:r>
      <w:r w:rsidRPr="001842E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A7659B">
        <w:rPr>
          <w:rFonts w:ascii="Times New Roman" w:hAnsi="Times New Roman" w:cs="Times New Roman"/>
          <w:sz w:val="24"/>
          <w:szCs w:val="24"/>
        </w:rPr>
        <w:t>Несвязанном</w:t>
      </w:r>
      <w:proofErr w:type="gramEnd"/>
      <w:r w:rsidRPr="001842E4">
        <w:rPr>
          <w:rFonts w:ascii="Times New Roman" w:hAnsi="Times New Roman" w:cs="Times New Roman"/>
          <w:sz w:val="24"/>
          <w:szCs w:val="24"/>
        </w:rPr>
        <w:t> </w:t>
      </w:r>
      <w:r w:rsidRPr="00A7659B">
        <w:rPr>
          <w:rFonts w:ascii="Times New Roman" w:hAnsi="Times New Roman" w:cs="Times New Roman"/>
          <w:sz w:val="24"/>
          <w:szCs w:val="24"/>
        </w:rPr>
        <w:t>- сообщения между SP могут направляться, в зависимости от состояния элементов сети, по разным маршрутам, т.е. маршруты заранее не определены (рисунок 7.16).</w:t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1842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74765" cy="2061845"/>
            <wp:effectExtent l="0" t="0" r="0" b="0"/>
            <wp:docPr id="29" name="Рисунок 4" descr="http://siblec.ru/mod/html/content/8sem/090/090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iblec.ru/mod/html/content/8sem/090/090.files/image114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206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E44" w:rsidRPr="00A7659B" w:rsidRDefault="000C3E44" w:rsidP="000C3E44">
      <w:pPr>
        <w:rPr>
          <w:rFonts w:ascii="Times New Roman" w:hAnsi="Times New Roman" w:cs="Times New Roman"/>
          <w:sz w:val="24"/>
          <w:szCs w:val="24"/>
        </w:rPr>
      </w:pPr>
      <w:r w:rsidRPr="00A7659B">
        <w:rPr>
          <w:rFonts w:ascii="Times New Roman" w:hAnsi="Times New Roman" w:cs="Times New Roman"/>
          <w:sz w:val="24"/>
          <w:szCs w:val="24"/>
        </w:rPr>
        <w:t>Несвязанный режим работы сети ОКС№7</w:t>
      </w:r>
    </w:p>
    <w:p w:rsidR="000C3E44" w:rsidRPr="001842E4" w:rsidRDefault="000C3E44" w:rsidP="000C3E44">
      <w:pPr>
        <w:rPr>
          <w:rFonts w:ascii="Times New Roman" w:hAnsi="Times New Roman" w:cs="Times New Roman"/>
          <w:sz w:val="24"/>
          <w:szCs w:val="24"/>
        </w:rPr>
      </w:pPr>
    </w:p>
    <w:p w:rsidR="000C3E44" w:rsidRDefault="000C3E44" w:rsidP="000C3E44">
      <w:pPr>
        <w:pStyle w:val="ab"/>
        <w:shd w:val="clear" w:color="auto" w:fill="FFFFFF"/>
        <w:spacing w:line="331" w:lineRule="atLeast"/>
        <w:rPr>
          <w:rFonts w:ascii="Arial" w:hAnsi="Arial" w:cs="Arial"/>
          <w:color w:val="343434"/>
        </w:rPr>
      </w:pPr>
    </w:p>
    <w:p w:rsidR="000C3E44" w:rsidRDefault="000C3E44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355F2A" w:rsidRDefault="00355F2A" w:rsidP="000C3E44">
      <w:pPr>
        <w:rPr>
          <w:rFonts w:ascii="Times New Roman" w:hAnsi="Times New Roman" w:cs="Times New Roman"/>
          <w:sz w:val="24"/>
          <w:szCs w:val="24"/>
        </w:rPr>
      </w:pPr>
    </w:p>
    <w:p w:rsidR="00C92469" w:rsidRPr="00FE73B9" w:rsidRDefault="00C92469" w:rsidP="000C3E44">
      <w:pPr>
        <w:rPr>
          <w:rFonts w:ascii="Times New Roman" w:hAnsi="Times New Roman" w:cs="Times New Roman"/>
          <w:sz w:val="24"/>
          <w:szCs w:val="24"/>
        </w:rPr>
      </w:pPr>
    </w:p>
    <w:sectPr w:rsidR="00C92469" w:rsidRPr="00FE73B9" w:rsidSect="00C9246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4FD0"/>
    <w:multiLevelType w:val="hybridMultilevel"/>
    <w:tmpl w:val="FB40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F6BE5"/>
    <w:multiLevelType w:val="hybridMultilevel"/>
    <w:tmpl w:val="1F8C9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F361D"/>
    <w:multiLevelType w:val="hybridMultilevel"/>
    <w:tmpl w:val="5D2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E55B4"/>
    <w:multiLevelType w:val="hybridMultilevel"/>
    <w:tmpl w:val="FD3A3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45ADB"/>
    <w:multiLevelType w:val="hybridMultilevel"/>
    <w:tmpl w:val="7F5C7396"/>
    <w:lvl w:ilvl="0" w:tplc="D87A3A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D10A4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729C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3F823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67635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07CDE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4E6D7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02270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C5EC1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4A5FBB"/>
    <w:multiLevelType w:val="hybridMultilevel"/>
    <w:tmpl w:val="5D2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06538A"/>
    <w:multiLevelType w:val="hybridMultilevel"/>
    <w:tmpl w:val="FD3A3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7025BA"/>
    <w:multiLevelType w:val="hybridMultilevel"/>
    <w:tmpl w:val="25D2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1F1F"/>
    <w:rsid w:val="000B3342"/>
    <w:rsid w:val="000C3E44"/>
    <w:rsid w:val="000D40AE"/>
    <w:rsid w:val="000F0BD5"/>
    <w:rsid w:val="00111F1F"/>
    <w:rsid w:val="00120ED3"/>
    <w:rsid w:val="001832E6"/>
    <w:rsid w:val="001A675C"/>
    <w:rsid w:val="00290363"/>
    <w:rsid w:val="003538AD"/>
    <w:rsid w:val="00355F2A"/>
    <w:rsid w:val="004864BF"/>
    <w:rsid w:val="00491B8A"/>
    <w:rsid w:val="004B646C"/>
    <w:rsid w:val="00536507"/>
    <w:rsid w:val="006B32DA"/>
    <w:rsid w:val="007D3EA6"/>
    <w:rsid w:val="007E6E6F"/>
    <w:rsid w:val="00862190"/>
    <w:rsid w:val="00882A86"/>
    <w:rsid w:val="00B87A0D"/>
    <w:rsid w:val="00C338D9"/>
    <w:rsid w:val="00C80342"/>
    <w:rsid w:val="00C92469"/>
    <w:rsid w:val="00CD0D29"/>
    <w:rsid w:val="00CD4966"/>
    <w:rsid w:val="00CF46A3"/>
    <w:rsid w:val="00CF4E06"/>
    <w:rsid w:val="00DE0662"/>
    <w:rsid w:val="00EC3499"/>
    <w:rsid w:val="00F41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6C"/>
  </w:style>
  <w:style w:type="paragraph" w:styleId="3">
    <w:name w:val="heading 3"/>
    <w:basedOn w:val="a"/>
    <w:next w:val="a"/>
    <w:link w:val="30"/>
    <w:qFormat/>
    <w:rsid w:val="0086219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1F1F"/>
    <w:rPr>
      <w:b/>
      <w:bCs/>
    </w:rPr>
  </w:style>
  <w:style w:type="table" w:styleId="a4">
    <w:name w:val="Table Grid"/>
    <w:basedOn w:val="a1"/>
    <w:uiPriority w:val="59"/>
    <w:rsid w:val="002903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9036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0B3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3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8D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62190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a9">
    <w:name w:val="Body Text Indent"/>
    <w:basedOn w:val="a"/>
    <w:link w:val="aa"/>
    <w:rsid w:val="0086219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6219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0C3E4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C3E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F174D-2C74-41B8-A2CC-AA17E07A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ustinova_um</cp:lastModifiedBy>
  <cp:revision>4</cp:revision>
  <dcterms:created xsi:type="dcterms:W3CDTF">2015-11-05T04:15:00Z</dcterms:created>
  <dcterms:modified xsi:type="dcterms:W3CDTF">2016-01-25T03:32:00Z</dcterms:modified>
</cp:coreProperties>
</file>